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Meeting Minutes</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April 14, 2026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3"/>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Twedell called the meeting to order at  2:0</w:t>
      </w:r>
      <w:r w:rsidDel="00000000" w:rsidR="00000000" w:rsidRPr="00000000">
        <w:rPr>
          <w:rFonts w:ascii="Times New Roman" w:cs="Times New Roman" w:eastAsia="Times New Roman" w:hAnsi="Times New Roman"/>
          <w:highlight w:val="white"/>
          <w:rtl w:val="0"/>
        </w:rPr>
        <w:t xml:space="preserve">6 pm</w:t>
      </w:r>
      <w:r w:rsidDel="00000000" w:rsidR="00000000" w:rsidRPr="00000000">
        <w:rPr>
          <w:rtl w:val="0"/>
        </w:rPr>
      </w:r>
    </w:p>
    <w:p w:rsidR="00000000" w:rsidDel="00000000" w:rsidP="00000000" w:rsidRDefault="00000000" w:rsidRPr="00000000" w14:paraId="0000000A">
      <w:pPr>
        <w:numPr>
          <w:ilvl w:val="0"/>
          <w:numId w:val="3"/>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B">
      <w:pPr>
        <w:numPr>
          <w:ilvl w:val="0"/>
          <w:numId w:val="3"/>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(March 10, 2026) - Draft meeting minutes emailed to the Committee before the meeting. D, Twedell solicited approval. J. Way approved. L. Krier seconded the motion.</w:t>
      </w:r>
    </w:p>
    <w:p w:rsidR="00000000" w:rsidDel="00000000" w:rsidP="00000000" w:rsidRDefault="00000000" w:rsidRPr="00000000" w14:paraId="0000000C">
      <w:pPr>
        <w:numPr>
          <w:ilvl w:val="0"/>
          <w:numId w:val="3"/>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before the meeting.  D. Twedell solicited approval. L. Morimoto approved. J. Way seconded the motion.</w:t>
      </w:r>
    </w:p>
    <w:p w:rsidR="00000000" w:rsidDel="00000000" w:rsidP="00000000" w:rsidRDefault="00000000" w:rsidRPr="00000000" w14:paraId="0000000D">
      <w:pPr>
        <w:numPr>
          <w:ilvl w:val="0"/>
          <w:numId w:val="3"/>
        </w:numPr>
        <w:spacing w:after="12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AVP for Facilities Management Update</w:t>
      </w:r>
      <w:r w:rsidDel="00000000" w:rsidR="00000000" w:rsidRPr="00000000">
        <w:rPr>
          <w:rtl w:val="0"/>
        </w:rPr>
      </w:r>
    </w:p>
    <w:p w:rsidR="00000000" w:rsidDel="00000000" w:rsidP="00000000" w:rsidRDefault="00000000" w:rsidRPr="00000000" w14:paraId="0000000E">
      <w:pPr>
        <w:numPr>
          <w:ilvl w:val="1"/>
          <w:numId w:val="3"/>
        </w:numPr>
        <w:spacing w:after="120" w:lineRule="auto"/>
        <w:ind w:left="180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Nursing Expansion Project is in programming which includes soliciting feedback from stakeholders on the project. </w:t>
      </w:r>
    </w:p>
    <w:p w:rsidR="00000000" w:rsidDel="00000000" w:rsidP="00000000" w:rsidRDefault="00000000" w:rsidRPr="00000000" w14:paraId="0000000F">
      <w:pPr>
        <w:numPr>
          <w:ilvl w:val="1"/>
          <w:numId w:val="3"/>
        </w:numPr>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Received inquiry about the North Pond water and  thought that the water would be clear once the project completed. It was the intent of the project to remove the non-native fish which would have improved water clarity, but in response to feedback received regarding the method to removing non-native fish, they remain in the pond  with the native fish. The cloudiness of the water is due to fish swimming around and bringing up soot.  The focus became protecting the native western pond turtle. The water fountains were replaced with bubbler systems which is more economical for maintenance and environmentally friendly since it does not require a mechanical system to be added.</w:t>
      </w:r>
    </w:p>
    <w:p w:rsidR="00000000" w:rsidDel="00000000" w:rsidP="00000000" w:rsidRDefault="00000000" w:rsidRPr="00000000" w14:paraId="00000010">
      <w:pPr>
        <w:ind w:left="180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AY25/26 - Monthly - Every 2nd Tuesday, 2:00 pm - 3:00 p.m.</w:t>
        <w:tab/>
      </w:r>
    </w:p>
    <w:p w:rsidR="00000000" w:rsidDel="00000000" w:rsidP="00000000" w:rsidRDefault="00000000" w:rsidRPr="00000000" w14:paraId="00000012">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w:t>
      </w:r>
    </w:p>
    <w:p w:rsidR="00000000" w:rsidDel="00000000" w:rsidP="00000000" w:rsidRDefault="00000000" w:rsidRPr="00000000" w14:paraId="00000013">
      <w:pPr>
        <w:numPr>
          <w:ilvl w:val="1"/>
          <w:numId w:val="9"/>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Copeland Creek Update: </w:t>
      </w:r>
    </w:p>
    <w:p w:rsidR="00000000" w:rsidDel="00000000" w:rsidP="00000000" w:rsidRDefault="00000000" w:rsidRPr="00000000" w14:paraId="00000014">
      <w:pPr>
        <w:spacing w:after="120" w:line="36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Lisa Bentley presented an update on her animal tracking project, which involves setting up sentinel sites with drift fences, camera traps, and sound recording devices across campus. She identified 6 potential locations (Attachment  A), with only 4 needed for the project. The group discussed the importance of creating appropriate signage that advertises student projects  in progress for the sites, with recommendations to work with campus prints and Strategic Communications for branding guidelines. Lisa clarified that while 4 sites are required, she could potentially use up to 6 sites if additional funding allows, and confirmed that sites must remain the same each year according to protocol. No objections from committee members on the proposed sites.</w:t>
      </w:r>
    </w:p>
    <w:p w:rsidR="00000000" w:rsidDel="00000000" w:rsidP="00000000" w:rsidRDefault="00000000" w:rsidRPr="00000000" w14:paraId="00000015">
      <w:pPr>
        <w:numPr>
          <w:ilvl w:val="1"/>
          <w:numId w:val="9"/>
        </w:numPr>
        <w:spacing w:after="120" w:line="36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Nursing Surge  Update</w:t>
      </w:r>
    </w:p>
    <w:p w:rsidR="00000000" w:rsidDel="00000000" w:rsidP="00000000" w:rsidRDefault="00000000" w:rsidRPr="00000000" w14:paraId="00000016">
      <w:pPr>
        <w:spacing w:line="36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Patty Couret provided an update on the nursing surge project, outlining plans for the temporary relocation of nursing faculty and their classes/skills labs. The moves are scheduled for June, with faculty offices being relocated to Stevenson second floor suite (Stevenson 2700 and nearby offices) and Carson Hall, while FNP (Family  Nurse Practitioners) skills labs and exam rooms will utilize spaces in the Student Health Center. D. Twedell expressed gratitude for the partnership with the Student Health Center, noting their unique ability to accommodate the nursing program's requirements.</w:t>
      </w:r>
    </w:p>
    <w:p w:rsidR="00000000" w:rsidDel="00000000" w:rsidP="00000000" w:rsidRDefault="00000000" w:rsidRPr="00000000" w14:paraId="00000017">
      <w:pPr>
        <w:spacing w:line="36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 </w:t>
      </w:r>
    </w:p>
    <w:p w:rsidR="00000000" w:rsidDel="00000000" w:rsidP="00000000" w:rsidRDefault="00000000" w:rsidRPr="00000000" w14:paraId="0000001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ESports</w:t>
      </w:r>
    </w:p>
    <w:p w:rsidR="00000000" w:rsidDel="00000000" w:rsidP="00000000" w:rsidRDefault="00000000" w:rsidRPr="00000000" w14:paraId="0000001A">
      <w:pPr>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 presented a proposal (Attachment B) to create an ESports space in Zinfandel Village, explaining that it would serve as a student-centered area for entertainment and programming, supporting strategic goals around student engagement and recruitment. The proposed space would include gaming stations, lounge areas, and TVs, with funding available through the Bridge to the Future program. </w:t>
      </w:r>
    </w:p>
    <w:p w:rsidR="00000000" w:rsidDel="00000000" w:rsidP="00000000" w:rsidRDefault="00000000" w:rsidRPr="00000000" w14:paraId="0000001B">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Krier raised concerns about the optics of supporting ESports while having recently eliminated athletic programs. B. Ellis addressed by explaining that the funding sources are different and designated for different purposes. </w:t>
      </w:r>
    </w:p>
    <w:p w:rsidR="00000000" w:rsidDel="00000000" w:rsidP="00000000" w:rsidRDefault="00000000" w:rsidRPr="00000000" w14:paraId="0000001C">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 Sanchez-Biederman shared her experience with video game lounges, noted that the target audience would likely be predominantly male and suggested strategies to make the space more welcoming to all students. Also, ensure that  there is  good ventilation since sports have spectators and participants in the  space for long periods of time.</w:t>
      </w:r>
    </w:p>
    <w:p w:rsidR="00000000" w:rsidDel="00000000" w:rsidP="00000000" w:rsidRDefault="00000000" w:rsidRPr="00000000" w14:paraId="0000001D">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Morimoto echoed J. Sanchez-Biederman’s comment  regarding  the target audience and marketing intentionally for diversity and raised questions about long-term sustainability financially, and space capacity.  B. Ellis confirmed a $240,000 one-time funding allocation from Bridge to the Future. The equipment should last 5-7 years and streaming capabilities would allow for broader audience engagement. There are opportunities for clubs to develop relationships with tech companies for sponsorship or partnerships. The room will support players with some in-person spectators but live streaming is an option for remote spectators and eventually as the program grows, further expansion is considered  within Zinfandel.</w:t>
      </w:r>
    </w:p>
    <w:p w:rsidR="00000000" w:rsidDel="00000000" w:rsidP="00000000" w:rsidRDefault="00000000" w:rsidRPr="00000000" w14:paraId="0000001E">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 Hess expressed concern about the facility's energy consumption and offered to collaborate with the sustainability manager, J. Sanchez-Biederman to address energy efficiency. B. Ellis supports this and suggested forming a task group.</w:t>
      </w:r>
    </w:p>
    <w:p w:rsidR="00000000" w:rsidDel="00000000" w:rsidP="00000000" w:rsidRDefault="00000000" w:rsidRPr="00000000" w14:paraId="0000001F">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Krier requested clarification if ESports was already approved and this discussion is focused on location. B. Ellis confirmed that while funding is available for esports, specific locations and details have not been finalized. The idea is being floated around campus for feedback. </w:t>
      </w:r>
    </w:p>
    <w:p w:rsidR="00000000" w:rsidDel="00000000" w:rsidP="00000000" w:rsidRDefault="00000000" w:rsidRPr="00000000" w14:paraId="00000020">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explained that the initiative aims to bring vibrancy to underutilized campus areas, with particular attention to creating welcoming spaces for students and inquired about outdoor seating in the Zinfandel courtyard for students to lounge. E. Hunter mentioned that it is currently under development and the overall initiative at Zinfandel is to create a student supportive wellness space in the area - Basic Needs, NOMA Cares are located here, but the northeast side is not being utilized so ESports is an opportunity to bring vibrancy to the space including improved lighting and adding music and still be sensitive to neurodiverse students. </w:t>
      </w:r>
    </w:p>
    <w:p w:rsidR="00000000" w:rsidDel="00000000" w:rsidP="00000000" w:rsidRDefault="00000000" w:rsidRPr="00000000" w14:paraId="00000021">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As underutilized spaces become active again, D. Twedell highlighted concerns about maintenance and custodial support which required ongoing funding beyond initial set up costs. Without ongoing funding to support, it would require compromising services to other parts of the campus or service expectations would need lowered further or is non-existent.</w:t>
      </w:r>
    </w:p>
    <w:p w:rsidR="00000000" w:rsidDel="00000000" w:rsidP="00000000" w:rsidRDefault="00000000" w:rsidRPr="00000000" w14:paraId="00000022">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 Way inquired if there has been a formal survey to all students inquiring what  they want - not only specifically about ESports but in general. For example, it has been commented that students are looking for outdoor seating, but it is rare that the outdoor furniture is full. </w:t>
      </w:r>
    </w:p>
    <w:p w:rsidR="00000000" w:rsidDel="00000000" w:rsidP="00000000" w:rsidRDefault="00000000" w:rsidRPr="00000000" w14:paraId="00000023">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  Way is in full support of campus vibrancy but raised important questions about student input in space planning and suggested a more measured approach to implementing multiple initiatives simultaneously.</w:t>
      </w:r>
    </w:p>
    <w:p w:rsidR="00000000" w:rsidDel="00000000" w:rsidP="00000000" w:rsidRDefault="00000000" w:rsidRPr="00000000" w14:paraId="00000024">
      <w:pPr>
        <w:numPr>
          <w:ilvl w:val="0"/>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In  closing, B. Ellis mentioned that students have been using any available space for ESports. Zinfandel gives them a dedicated space.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line="36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adjourned at 2:55 p.m.</w:t>
      </w:r>
    </w:p>
    <w:p w:rsidR="00000000" w:rsidDel="00000000" w:rsidP="00000000" w:rsidRDefault="00000000" w:rsidRPr="00000000" w14:paraId="00000027">
      <w:pPr>
        <w:spacing w:after="120" w:line="360" w:lineRule="auto"/>
        <w:ind w:left="1440" w:right="-27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after="120" w:line="360" w:lineRule="auto"/>
        <w:ind w:left="0" w:righ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Future / Ongoing Topics</w:t>
        <w:tab/>
        <w:tab/>
        <w:tab/>
        <w:tab/>
        <w:tab/>
        <w:tab/>
        <w:tab/>
        <w:tab/>
        <w:tab/>
        <w:tab/>
      </w:r>
    </w:p>
    <w:p w:rsidR="00000000" w:rsidDel="00000000" w:rsidP="00000000" w:rsidRDefault="00000000" w:rsidRPr="00000000" w14:paraId="00000029">
      <w:pPr>
        <w:numPr>
          <w:ilvl w:val="0"/>
          <w:numId w:val="8"/>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2A">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2B">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Ives/Nichols Feasibility Assessment (pending)</w:t>
      </w:r>
    </w:p>
    <w:p w:rsidR="00000000" w:rsidDel="00000000" w:rsidP="00000000" w:rsidRDefault="00000000" w:rsidRPr="00000000" w14:paraId="0000002C">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Art/Carson Feasibility Assessment (pending)</w:t>
      </w:r>
    </w:p>
    <w:p w:rsidR="00000000" w:rsidDel="00000000" w:rsidP="00000000" w:rsidRDefault="00000000" w:rsidRPr="00000000" w14:paraId="0000002D">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 Year Capital Outlay Draft Review FY27/28 (will be reviewed in AY 25/26)</w:t>
      </w:r>
    </w:p>
    <w:p w:rsidR="00000000" w:rsidDel="00000000" w:rsidP="00000000" w:rsidRDefault="00000000" w:rsidRPr="00000000" w14:paraId="0000002E">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30">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31">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33">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34">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35">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38">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39">
      <w:pPr>
        <w:numPr>
          <w:ilvl w:val="0"/>
          <w:numId w:val="5"/>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3A">
      <w:pPr>
        <w:numPr>
          <w:ilvl w:val="0"/>
          <w:numId w:val="5"/>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3B">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3C">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3F">
      <w:pPr>
        <w:numPr>
          <w:ilvl w:val="0"/>
          <w:numId w:val="6"/>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40">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1">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42">
      <w:pPr>
        <w:numPr>
          <w:ilvl w:val="0"/>
          <w:numId w:val="7"/>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43">
      <w:pPr>
        <w:numPr>
          <w:ilvl w:val="0"/>
          <w:numId w:val="7"/>
        </w:numPr>
        <w:spacing w:line="240" w:lineRule="auto"/>
        <w:ind w:left="720" w:hanging="360"/>
        <w:rPr>
          <w:rFonts w:ascii="Times New Roman" w:cs="Times New Roman" w:eastAsia="Times New Roman" w:hAnsi="Times New Roman"/>
          <w:i w:val="1"/>
          <w:iCs w:val="1"/>
        </w:rPr>
      </w:pPr>
      <w:hyperlink r:id="rId7">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44">
      <w:pPr>
        <w:numPr>
          <w:ilvl w:val="0"/>
          <w:numId w:val="7"/>
        </w:numPr>
        <w:spacing w:line="240" w:lineRule="auto"/>
        <w:ind w:left="720" w:hanging="360"/>
        <w:rPr>
          <w:rFonts w:ascii="Times New Roman" w:cs="Times New Roman" w:eastAsia="Times New Roman" w:hAnsi="Times New Roman"/>
          <w:i w:val="1"/>
          <w:iCs w:val="1"/>
        </w:rPr>
      </w:pPr>
      <w:hyperlink r:id="rId8">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45">
      <w:pPr>
        <w:numPr>
          <w:ilvl w:val="0"/>
          <w:numId w:val="7"/>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46">
      <w:pPr>
        <w:numPr>
          <w:ilvl w:val="0"/>
          <w:numId w:val="7"/>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47">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48">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49">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b w:val="1"/>
          <w:bCs w:val="1"/>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4D">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5"/>
        <w:gridCol w:w="1530"/>
        <w:gridCol w:w="105"/>
        <w:gridCol w:w="360"/>
        <w:gridCol w:w="720"/>
        <w:gridCol w:w="7200"/>
        <w:tblGridChange w:id="0">
          <w:tblGrid>
            <w:gridCol w:w="525"/>
            <w:gridCol w:w="1530"/>
            <w:gridCol w:w="105"/>
            <w:gridCol w:w="360"/>
            <w:gridCol w:w="720"/>
            <w:gridCol w:w="7200"/>
          </w:tblGrid>
        </w:tblGridChange>
      </w:tblGrid>
      <w:tr>
        <w:trPr>
          <w:cantSplit w:val="0"/>
          <w:tblHeader w:val="0"/>
        </w:trPr>
        <w:tc>
          <w:tcPr>
            <w:gridSpan w:val="2"/>
          </w:tcPr>
          <w:p w:rsidR="00000000" w:rsidDel="00000000" w:rsidP="00000000" w:rsidRDefault="00000000" w:rsidRPr="00000000" w14:paraId="0000004E">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50">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53">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54">
            <w:pPr>
              <w:spacing w:line="276" w:lineRule="auto"/>
              <w:rPr>
                <w:rFonts w:ascii="Times New Roman" w:cs="Times New Roman" w:eastAsia="Times New Roman" w:hAnsi="Times New Roman"/>
                <w:b w:val="0"/>
                <w:bCs w:val="0"/>
                <w:color w:val="000000"/>
                <w:sz w:val="24"/>
                <w:szCs w:val="24"/>
              </w:rPr>
            </w:pPr>
            <w:sdt>
              <w:sdtPr>
                <w:id w:val="-579186451"/>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5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Campus Building Official</w:t>
            </w:r>
          </w:p>
        </w:tc>
      </w:tr>
      <w:tr>
        <w:trPr>
          <w:cantSplit w:val="0"/>
          <w:tblHeader w:val="0"/>
        </w:trPr>
        <w:tc>
          <w:tcPr/>
          <w:p w:rsidR="00000000" w:rsidDel="00000000" w:rsidP="00000000" w:rsidRDefault="00000000" w:rsidRPr="00000000" w14:paraId="0000005A">
            <w:pPr>
              <w:spacing w:line="276" w:lineRule="auto"/>
              <w:rPr>
                <w:rFonts w:ascii="Times New Roman" w:cs="Times New Roman" w:eastAsia="Times New Roman" w:hAnsi="Times New Roman"/>
                <w:b w:val="0"/>
                <w:bCs w:val="0"/>
                <w:color w:val="000000"/>
                <w:sz w:val="24"/>
                <w:szCs w:val="24"/>
              </w:rPr>
            </w:pPr>
            <w:sdt>
              <w:sdtPr>
                <w:id w:val="90277211"/>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5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60">
            <w:pPr>
              <w:spacing w:line="276" w:lineRule="auto"/>
              <w:rPr>
                <w:rFonts w:ascii="Times New Roman" w:cs="Times New Roman" w:eastAsia="Times New Roman" w:hAnsi="Times New Roman"/>
                <w:b w:val="0"/>
                <w:bCs w:val="0"/>
                <w:color w:val="000000"/>
                <w:sz w:val="24"/>
                <w:szCs w:val="24"/>
              </w:rPr>
            </w:pPr>
            <w:sdt>
              <w:sdtPr>
                <w:id w:val="1851798092"/>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6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66">
            <w:pPr>
              <w:spacing w:line="276" w:lineRule="auto"/>
              <w:rPr>
                <w:rFonts w:ascii="Times New Roman" w:cs="Times New Roman" w:eastAsia="Times New Roman" w:hAnsi="Times New Roman"/>
                <w:b w:val="0"/>
                <w:bCs w:val="0"/>
                <w:color w:val="000000"/>
                <w:sz w:val="24"/>
                <w:szCs w:val="24"/>
              </w:rPr>
            </w:pPr>
            <w:sdt>
              <w:sdtPr>
                <w:id w:val="-988557238"/>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Jake Hornsby</w:t>
            </w:r>
          </w:p>
        </w:tc>
        <w:tc>
          <w:tcPr/>
          <w:p w:rsidR="00000000" w:rsidDel="00000000" w:rsidP="00000000" w:rsidRDefault="00000000" w:rsidRPr="00000000" w14:paraId="0000006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6C">
            <w:pPr>
              <w:spacing w:line="276" w:lineRule="auto"/>
              <w:rPr>
                <w:rFonts w:ascii="Times New Roman" w:cs="Times New Roman" w:eastAsia="Times New Roman" w:hAnsi="Times New Roman"/>
                <w:b w:val="0"/>
                <w:bCs w:val="0"/>
                <w:color w:val="000000"/>
                <w:sz w:val="24"/>
                <w:szCs w:val="24"/>
              </w:rPr>
            </w:pPr>
            <w:sdt>
              <w:sdtPr>
                <w:id w:val="-1652303157"/>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7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72">
            <w:pPr>
              <w:spacing w:line="276" w:lineRule="auto"/>
              <w:rPr>
                <w:rFonts w:ascii="Times New Roman" w:cs="Times New Roman" w:eastAsia="Times New Roman" w:hAnsi="Times New Roman"/>
                <w:b w:val="0"/>
                <w:bCs w:val="0"/>
                <w:color w:val="000000"/>
                <w:sz w:val="24"/>
                <w:szCs w:val="24"/>
              </w:rPr>
            </w:pPr>
            <w:sdt>
              <w:sdtPr>
                <w:id w:val="1303051148"/>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7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78">
            <w:pPr>
              <w:spacing w:line="276" w:lineRule="auto"/>
              <w:rPr>
                <w:rFonts w:ascii="Times New Roman" w:cs="Times New Roman" w:eastAsia="Times New Roman" w:hAnsi="Times New Roman"/>
                <w:b w:val="0"/>
                <w:bCs w:val="0"/>
                <w:color w:val="000000"/>
                <w:sz w:val="24"/>
                <w:szCs w:val="24"/>
              </w:rPr>
            </w:pPr>
            <w:sdt>
              <w:sdtPr>
                <w:id w:val="488431290"/>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Erin Hunter</w:t>
            </w:r>
          </w:p>
        </w:tc>
        <w:tc>
          <w:tcPr/>
          <w:p w:rsidR="00000000" w:rsidDel="00000000" w:rsidP="00000000" w:rsidRDefault="00000000" w:rsidRPr="00000000" w14:paraId="0000007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7E">
            <w:pPr>
              <w:spacing w:line="276" w:lineRule="auto"/>
              <w:rPr>
                <w:rFonts w:ascii="Times New Roman" w:cs="Times New Roman" w:eastAsia="Times New Roman" w:hAnsi="Times New Roman"/>
                <w:b w:val="0"/>
                <w:bCs w:val="0"/>
                <w:color w:val="000000"/>
                <w:sz w:val="24"/>
                <w:szCs w:val="24"/>
              </w:rPr>
            </w:pPr>
            <w:sdt>
              <w:sdtPr>
                <w:id w:val="141845884"/>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8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84">
            <w:pPr>
              <w:spacing w:line="276" w:lineRule="auto"/>
              <w:rPr>
                <w:rFonts w:ascii="Times New Roman" w:cs="Times New Roman" w:eastAsia="Times New Roman" w:hAnsi="Times New Roman"/>
                <w:b w:val="0"/>
                <w:bCs w:val="0"/>
                <w:color w:val="000000"/>
                <w:sz w:val="24"/>
                <w:szCs w:val="24"/>
              </w:rPr>
            </w:pPr>
            <w:sdt>
              <w:sdtPr>
                <w:id w:val="1224951728"/>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8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8A">
            <w:pPr>
              <w:spacing w:line="276" w:lineRule="auto"/>
              <w:rPr>
                <w:rFonts w:ascii="Times New Roman" w:cs="Times New Roman" w:eastAsia="Times New Roman" w:hAnsi="Times New Roman"/>
                <w:b w:val="0"/>
                <w:bCs w:val="0"/>
                <w:color w:val="000000"/>
                <w:sz w:val="24"/>
                <w:szCs w:val="24"/>
              </w:rPr>
            </w:pPr>
            <w:sdt>
              <w:sdtPr>
                <w:id w:val="-604195760"/>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8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90">
            <w:pPr>
              <w:spacing w:line="276" w:lineRule="auto"/>
              <w:rPr>
                <w:rFonts w:ascii="Times New Roman" w:cs="Times New Roman" w:eastAsia="Times New Roman" w:hAnsi="Times New Roman"/>
                <w:b w:val="0"/>
                <w:bCs w:val="0"/>
                <w:color w:val="000000"/>
                <w:sz w:val="24"/>
                <w:szCs w:val="24"/>
              </w:rPr>
            </w:pPr>
            <w:sdt>
              <w:sdtPr>
                <w:id w:val="-898284719"/>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1">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Lauren Morimoto</w:t>
            </w:r>
            <w:r w:rsidDel="00000000" w:rsidR="00000000" w:rsidRPr="00000000">
              <w:rPr>
                <w:rtl w:val="0"/>
              </w:rPr>
            </w:r>
          </w:p>
        </w:tc>
        <w:tc>
          <w:tcPr/>
          <w:p w:rsidR="00000000" w:rsidDel="00000000" w:rsidP="00000000" w:rsidRDefault="00000000" w:rsidRPr="00000000" w14:paraId="0000009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(designee)</w:t>
            </w:r>
          </w:p>
        </w:tc>
      </w:tr>
      <w:tr>
        <w:trPr>
          <w:cantSplit w:val="0"/>
          <w:tblHeader w:val="0"/>
        </w:trPr>
        <w:tc>
          <w:tcPr/>
          <w:p w:rsidR="00000000" w:rsidDel="00000000" w:rsidP="00000000" w:rsidRDefault="00000000" w:rsidRPr="00000000" w14:paraId="00000096">
            <w:pPr>
              <w:spacing w:line="276" w:lineRule="auto"/>
              <w:rPr>
                <w:rFonts w:ascii="Times New Roman" w:cs="Times New Roman" w:eastAsia="Times New Roman" w:hAnsi="Times New Roman"/>
                <w:b w:val="0"/>
                <w:bCs w:val="0"/>
                <w:color w:val="000000"/>
                <w:sz w:val="24"/>
                <w:szCs w:val="24"/>
              </w:rPr>
            </w:pPr>
            <w:sdt>
              <w:sdtPr>
                <w:id w:val="-1771105617"/>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Dolly Waratoma</w:t>
            </w:r>
          </w:p>
        </w:tc>
        <w:tc>
          <w:tcPr/>
          <w:p w:rsidR="00000000" w:rsidDel="00000000" w:rsidP="00000000" w:rsidRDefault="00000000" w:rsidRPr="00000000" w14:paraId="0000009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9C">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9D">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A1">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A2">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A5">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A7">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A8">
            <w:pPr>
              <w:spacing w:line="276" w:lineRule="auto"/>
              <w:rPr>
                <w:rFonts w:ascii="Times New Roman" w:cs="Times New Roman" w:eastAsia="Times New Roman" w:hAnsi="Times New Roman"/>
                <w:b w:val="0"/>
                <w:bCs w:val="0"/>
                <w:color w:val="000000"/>
                <w:sz w:val="24"/>
                <w:szCs w:val="24"/>
              </w:rPr>
            </w:pPr>
            <w:sdt>
              <w:sdtPr>
                <w:id w:val="-1292940729"/>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A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AE">
            <w:pPr>
              <w:spacing w:line="276" w:lineRule="auto"/>
              <w:rPr>
                <w:rFonts w:ascii="Times New Roman" w:cs="Times New Roman" w:eastAsia="Times New Roman" w:hAnsi="Times New Roman"/>
                <w:b w:val="0"/>
                <w:bCs w:val="0"/>
                <w:color w:val="000000"/>
                <w:sz w:val="24"/>
                <w:szCs w:val="24"/>
              </w:rPr>
            </w:pPr>
            <w:sdt>
              <w:sdtPr>
                <w:id w:val="-1085338401"/>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F">
            <w:pPr>
              <w:spacing w:after="120" w:line="276" w:lineRule="auto"/>
              <w:ind w:left="0" w:firstLine="0"/>
              <w:jc w:val="left"/>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sz w:val="22"/>
                <w:szCs w:val="22"/>
                <w:rtl w:val="0"/>
              </w:rPr>
              <w:t xml:space="preserve">Alyssandra Oracion</w:t>
            </w:r>
            <w:r w:rsidDel="00000000" w:rsidR="00000000" w:rsidRPr="00000000">
              <w:rPr>
                <w:rtl w:val="0"/>
              </w:rPr>
            </w:r>
          </w:p>
        </w:tc>
        <w:tc>
          <w:tcPr/>
          <w:p w:rsidR="00000000" w:rsidDel="00000000" w:rsidP="00000000" w:rsidRDefault="00000000" w:rsidRPr="00000000" w14:paraId="000000B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B4">
            <w:pPr>
              <w:spacing w:line="276" w:lineRule="auto"/>
              <w:rPr>
                <w:rFonts w:ascii="Times New Roman" w:cs="Times New Roman" w:eastAsia="Times New Roman" w:hAnsi="Times New Roman"/>
                <w:b w:val="0"/>
                <w:bCs w:val="0"/>
                <w:color w:val="000000"/>
                <w:sz w:val="24"/>
                <w:szCs w:val="24"/>
              </w:rPr>
            </w:pPr>
            <w:sdt>
              <w:sdtPr>
                <w:id w:val="496772933"/>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Young Min Chun</w:t>
            </w:r>
          </w:p>
        </w:tc>
        <w:tc>
          <w:tcPr/>
          <w:p w:rsidR="00000000" w:rsidDel="00000000" w:rsidP="00000000" w:rsidRDefault="00000000" w:rsidRPr="00000000" w14:paraId="000000B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BA">
            <w:pPr>
              <w:spacing w:line="276" w:lineRule="auto"/>
              <w:rPr>
                <w:rFonts w:ascii="Times New Roman" w:cs="Times New Roman" w:eastAsia="Times New Roman" w:hAnsi="Times New Roman"/>
                <w:b w:val="0"/>
                <w:bCs w:val="0"/>
                <w:color w:val="000000"/>
                <w:sz w:val="24"/>
                <w:szCs w:val="24"/>
              </w:rPr>
            </w:pPr>
            <w:sdt>
              <w:sdtPr>
                <w:id w:val="-466937603"/>
                <w:tag w:val="goog_rdk_1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B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C0">
            <w:pPr>
              <w:spacing w:line="276" w:lineRule="auto"/>
              <w:rPr>
                <w:rFonts w:ascii="Times New Roman" w:cs="Times New Roman" w:eastAsia="Times New Roman" w:hAnsi="Times New Roman"/>
                <w:b w:val="0"/>
                <w:bCs w:val="0"/>
                <w:color w:val="000000"/>
                <w:sz w:val="24"/>
                <w:szCs w:val="24"/>
              </w:rPr>
            </w:pPr>
            <w:sdt>
              <w:sdtPr>
                <w:id w:val="257196050"/>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highlight w:val="yellow"/>
                <w:rtl w:val="0"/>
              </w:rPr>
              <w:t xml:space="preserve">TBD</w:t>
            </w:r>
            <w:r w:rsidDel="00000000" w:rsidR="00000000" w:rsidRPr="00000000">
              <w:rPr>
                <w:rtl w:val="0"/>
              </w:rPr>
            </w:r>
          </w:p>
        </w:tc>
        <w:tc>
          <w:tcPr/>
          <w:p w:rsidR="00000000" w:rsidDel="00000000" w:rsidP="00000000" w:rsidRDefault="00000000" w:rsidRPr="00000000" w14:paraId="000000C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gridSpan w:val="4"/>
          </w:tcPr>
          <w:p w:rsidR="00000000" w:rsidDel="00000000" w:rsidP="00000000" w:rsidRDefault="00000000" w:rsidRPr="00000000" w14:paraId="000000C6">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p w:rsidR="00000000" w:rsidDel="00000000" w:rsidP="00000000" w:rsidRDefault="00000000" w:rsidRPr="00000000" w14:paraId="000000C7">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CB">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CC">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CD">
            <w:pPr>
              <w:spacing w:line="276" w:lineRule="auto"/>
              <w:rPr>
                <w:rFonts w:ascii="Times New Roman" w:cs="Times New Roman" w:eastAsia="Times New Roman" w:hAnsi="Times New Roman"/>
                <w:b w:val="0"/>
                <w:bCs w:val="0"/>
                <w:color w:val="000000"/>
                <w:sz w:val="24"/>
                <w:szCs w:val="24"/>
              </w:rPr>
            </w:pPr>
            <w:sdt>
              <w:sdtPr>
                <w:id w:val="21104798"/>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D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D3">
            <w:pPr>
              <w:spacing w:line="276" w:lineRule="auto"/>
              <w:rPr>
                <w:rFonts w:ascii="Times New Roman" w:cs="Times New Roman" w:eastAsia="Times New Roman" w:hAnsi="Times New Roman"/>
                <w:b w:val="0"/>
                <w:bCs w:val="0"/>
                <w:color w:val="000000"/>
                <w:sz w:val="24"/>
                <w:szCs w:val="24"/>
              </w:rPr>
            </w:pPr>
            <w:sdt>
              <w:sdtPr>
                <w:id w:val="-495205604"/>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D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D9">
            <w:pPr>
              <w:spacing w:line="276" w:lineRule="auto"/>
              <w:rPr>
                <w:rFonts w:ascii="Quattrocento Sans" w:cs="Quattrocento Sans" w:eastAsia="Quattrocento Sans" w:hAnsi="Quattrocento Sans"/>
                <w:b w:val="0"/>
                <w:bCs w:val="0"/>
                <w:color w:val="000000"/>
                <w:sz w:val="24"/>
                <w:szCs w:val="24"/>
              </w:rPr>
            </w:pPr>
            <w:sdt>
              <w:sdtPr>
                <w:id w:val="1173745233"/>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D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F">
            <w:pPr>
              <w:spacing w:line="276" w:lineRule="auto"/>
              <w:rPr>
                <w:rFonts w:ascii="Quattrocento Sans" w:cs="Quattrocento Sans" w:eastAsia="Quattrocento Sans" w:hAnsi="Quattrocento Sans"/>
                <w:b w:val="0"/>
                <w:bCs w:val="0"/>
                <w:color w:val="000000"/>
                <w:sz w:val="24"/>
                <w:szCs w:val="24"/>
              </w:rPr>
            </w:pPr>
            <w:sdt>
              <w:sdtPr>
                <w:id w:val="2021827074"/>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E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E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E5">
            <w:pPr>
              <w:spacing w:line="276" w:lineRule="auto"/>
              <w:rPr>
                <w:rFonts w:ascii="Times New Roman" w:cs="Times New Roman" w:eastAsia="Times New Roman" w:hAnsi="Times New Roman"/>
                <w:b w:val="0"/>
                <w:bCs w:val="0"/>
                <w:color w:val="000000"/>
                <w:sz w:val="24"/>
                <w:szCs w:val="24"/>
              </w:rPr>
            </w:pPr>
            <w:sdt>
              <w:sdtPr>
                <w:id w:val="965424107"/>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E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EB">
            <w:pPr>
              <w:spacing w:line="276" w:lineRule="auto"/>
              <w:rPr>
                <w:rFonts w:ascii="Times New Roman" w:cs="Times New Roman" w:eastAsia="Times New Roman" w:hAnsi="Times New Roman"/>
                <w:b w:val="0"/>
                <w:bCs w:val="0"/>
                <w:color w:val="000000"/>
                <w:sz w:val="24"/>
                <w:szCs w:val="24"/>
              </w:rPr>
            </w:pPr>
            <w:sdt>
              <w:sdtPr>
                <w:id w:val="2092267546"/>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F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w:t>
            </w:r>
          </w:p>
        </w:tc>
      </w:tr>
      <w:tr>
        <w:trPr>
          <w:cantSplit w:val="0"/>
          <w:tblHeader w:val="0"/>
        </w:trPr>
        <w:tc>
          <w:tcPr/>
          <w:p w:rsidR="00000000" w:rsidDel="00000000" w:rsidP="00000000" w:rsidRDefault="00000000" w:rsidRPr="00000000" w14:paraId="000000F1">
            <w:pPr>
              <w:spacing w:line="276" w:lineRule="auto"/>
              <w:rPr>
                <w:rFonts w:ascii="Quattrocento Sans" w:cs="Quattrocento Sans" w:eastAsia="Quattrocento Sans" w:hAnsi="Quattrocento Sans"/>
                <w:b w:val="0"/>
                <w:bCs w:val="0"/>
                <w:color w:val="000000"/>
                <w:sz w:val="24"/>
                <w:szCs w:val="24"/>
              </w:rPr>
            </w:pPr>
            <w:sdt>
              <w:sdtPr>
                <w:id w:val="1197140754"/>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F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F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Project Manager</w:t>
            </w:r>
          </w:p>
        </w:tc>
      </w:tr>
      <w:tr>
        <w:trPr>
          <w:cantSplit w:val="0"/>
          <w:trHeight w:val="325.80799999999556" w:hRule="atLeast"/>
          <w:tblHeader w:val="0"/>
        </w:trPr>
        <w:tc>
          <w:tcPr/>
          <w:p w:rsidR="00000000" w:rsidDel="00000000" w:rsidP="00000000" w:rsidRDefault="00000000" w:rsidRPr="00000000" w14:paraId="000000F7">
            <w:pPr>
              <w:spacing w:line="276" w:lineRule="auto"/>
              <w:rPr>
                <w:rFonts w:ascii="Quattrocento Sans" w:cs="Quattrocento Sans" w:eastAsia="Quattrocento Sans" w:hAnsi="Quattrocento Sans"/>
                <w:b w:val="0"/>
                <w:bCs w:val="0"/>
                <w:color w:val="000000"/>
                <w:sz w:val="24"/>
                <w:szCs w:val="24"/>
              </w:rPr>
            </w:pPr>
            <w:sdt>
              <w:sdtPr>
                <w:id w:val="-1384168364"/>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F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Casey Kelly</w:t>
            </w:r>
          </w:p>
        </w:tc>
        <w:tc>
          <w:tcPr/>
          <w:p w:rsidR="00000000" w:rsidDel="00000000" w:rsidP="00000000" w:rsidRDefault="00000000" w:rsidRPr="00000000" w14:paraId="000000F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Marketing</w:t>
            </w:r>
          </w:p>
        </w:tc>
      </w:tr>
      <w:tr>
        <w:trPr>
          <w:cantSplit w:val="0"/>
          <w:trHeight w:val="325.80799999999556" w:hRule="atLeast"/>
          <w:tblHeader w:val="0"/>
        </w:trPr>
        <w:tc>
          <w:tcPr/>
          <w:p w:rsidR="00000000" w:rsidDel="00000000" w:rsidP="00000000" w:rsidRDefault="00000000" w:rsidRPr="00000000" w14:paraId="000000FD">
            <w:pPr>
              <w:spacing w:line="276" w:lineRule="auto"/>
              <w:rPr>
                <w:rFonts w:ascii="Quattrocento Sans" w:cs="Quattrocento Sans" w:eastAsia="Quattrocento Sans" w:hAnsi="Quattrocento Sans"/>
                <w:b w:val="0"/>
                <w:bCs w:val="0"/>
                <w:color w:val="000000"/>
                <w:sz w:val="24"/>
                <w:szCs w:val="24"/>
              </w:rPr>
            </w:pPr>
            <w:sdt>
              <w:sdtPr>
                <w:id w:val="1451989428"/>
                <w:tag w:val="goog_rdk_2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F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Lisa Bentley</w:t>
            </w:r>
          </w:p>
        </w:tc>
        <w:tc>
          <w:tcPr/>
          <w:p w:rsidR="00000000" w:rsidDel="00000000" w:rsidP="00000000" w:rsidRDefault="00000000" w:rsidRPr="00000000" w14:paraId="0000010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Instructor, Biology</w:t>
            </w:r>
          </w:p>
        </w:tc>
      </w:tr>
    </w:tbl>
    <w:p w:rsidR="00000000" w:rsidDel="00000000" w:rsidP="00000000" w:rsidRDefault="00000000" w:rsidRPr="00000000" w14:paraId="00000103">
      <w:pPr>
        <w:rPr/>
      </w:pPr>
      <w:r w:rsidDel="00000000" w:rsidR="00000000" w:rsidRPr="00000000">
        <w:rPr>
          <w:rtl w:val="0"/>
        </w:rPr>
      </w:r>
    </w:p>
    <w:sectPr>
      <w:headerReference r:id="rId10" w:type="default"/>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7">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www.sonoma.edu/policies/construction-new-buildings-andor-structur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onoma.edu/policies/space-modification-and-renovation" TargetMode="External"/><Relationship Id="rId8" Type="http://schemas.openxmlformats.org/officeDocument/2006/relationships/hyperlink" Target="http://www.sonoma.edu/policies/university-signa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5hfv1nTqAaiermnqErjAWeyLn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zgAciExRmhlczNyeDVzWUZMa0JWengyVzdsMDZqUDJ3dTNBTT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